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553" w:rsidRDefault="006D6553" w:rsidP="00F72265">
      <w:pPr>
        <w:jc w:val="center"/>
        <w:rPr>
          <w:b/>
          <w:sz w:val="22"/>
          <w:szCs w:val="22"/>
          <w:lang w:val="bg-BG"/>
        </w:rPr>
      </w:pPr>
    </w:p>
    <w:p w:rsidR="000353F0" w:rsidRDefault="000353F0" w:rsidP="00F72265">
      <w:pPr>
        <w:jc w:val="center"/>
        <w:rPr>
          <w:b/>
          <w:sz w:val="22"/>
          <w:szCs w:val="22"/>
          <w:lang w:val="bg-BG"/>
        </w:rPr>
      </w:pPr>
    </w:p>
    <w:p w:rsidR="00F72265" w:rsidRPr="006D6553" w:rsidRDefault="00F72265" w:rsidP="00F72265">
      <w:pPr>
        <w:jc w:val="center"/>
        <w:rPr>
          <w:b/>
          <w:sz w:val="22"/>
          <w:szCs w:val="22"/>
          <w:lang w:val="bg-BG"/>
        </w:rPr>
      </w:pPr>
      <w:r w:rsidRPr="006D6553">
        <w:rPr>
          <w:b/>
          <w:sz w:val="22"/>
          <w:szCs w:val="22"/>
          <w:lang w:val="bg-BG"/>
        </w:rPr>
        <w:t>ПРОЕКТ „ УЧЕНИЧЕСКИ ПРАКТИКИ“</w:t>
      </w:r>
    </w:p>
    <w:p w:rsidR="00F72265" w:rsidRPr="006D6553" w:rsidRDefault="00F72265" w:rsidP="00F72265">
      <w:pPr>
        <w:jc w:val="both"/>
        <w:rPr>
          <w:b/>
          <w:sz w:val="22"/>
          <w:szCs w:val="22"/>
          <w:lang w:val="bg-BG"/>
        </w:rPr>
      </w:pPr>
    </w:p>
    <w:p w:rsidR="00F72265" w:rsidRPr="006D6553" w:rsidRDefault="00F72265" w:rsidP="00F72265">
      <w:pPr>
        <w:jc w:val="both"/>
        <w:rPr>
          <w:sz w:val="22"/>
          <w:szCs w:val="22"/>
          <w:lang w:val="bg-BG"/>
        </w:rPr>
      </w:pPr>
      <w:r w:rsidRPr="006D6553">
        <w:rPr>
          <w:b/>
          <w:sz w:val="22"/>
          <w:szCs w:val="22"/>
          <w:lang w:val="bg-BG"/>
        </w:rPr>
        <w:t>Схемата „Ученически и студентски практики”</w:t>
      </w:r>
      <w:r w:rsidRPr="006D6553">
        <w:rPr>
          <w:sz w:val="22"/>
          <w:szCs w:val="22"/>
          <w:lang w:val="bg-BG"/>
        </w:rPr>
        <w:t xml:space="preserve"> (BG051PO001-3.3.07) стартира на 18 януари 2012 г. Финансирана е по Оперативна програма „Развитие на човешките ресурси”, съфинансирана от Европейския социален фонд. Настоящата схема е разделена на два проекта:</w:t>
      </w:r>
    </w:p>
    <w:p w:rsidR="00F72265" w:rsidRPr="006D6553" w:rsidRDefault="00F72265" w:rsidP="00F72265">
      <w:pPr>
        <w:jc w:val="both"/>
        <w:rPr>
          <w:sz w:val="22"/>
          <w:szCs w:val="22"/>
          <w:lang w:val="bg-BG"/>
        </w:rPr>
      </w:pPr>
      <w:r w:rsidRPr="006D6553">
        <w:rPr>
          <w:sz w:val="22"/>
          <w:szCs w:val="22"/>
          <w:lang w:val="bg-BG"/>
        </w:rPr>
        <w:t xml:space="preserve">Компонент 1 – BG051PO001-3.3.07-0001 </w:t>
      </w:r>
      <w:r w:rsidRPr="006D6553">
        <w:rPr>
          <w:b/>
          <w:sz w:val="22"/>
          <w:szCs w:val="22"/>
          <w:lang w:val="bg-BG"/>
        </w:rPr>
        <w:t>,,Ученически практики”;</w:t>
      </w:r>
    </w:p>
    <w:p w:rsidR="00F72265" w:rsidRPr="006D6553" w:rsidRDefault="00F72265" w:rsidP="00F72265">
      <w:pPr>
        <w:jc w:val="both"/>
        <w:rPr>
          <w:sz w:val="22"/>
          <w:szCs w:val="22"/>
          <w:lang w:val="bg-BG"/>
        </w:rPr>
      </w:pPr>
      <w:r w:rsidRPr="006D6553">
        <w:rPr>
          <w:sz w:val="22"/>
          <w:szCs w:val="22"/>
          <w:lang w:val="bg-BG"/>
        </w:rPr>
        <w:t xml:space="preserve">Компонент 2 – BG051PO001-3.3.07-0002 </w:t>
      </w:r>
      <w:r w:rsidRPr="006D6553">
        <w:rPr>
          <w:b/>
          <w:sz w:val="22"/>
          <w:szCs w:val="22"/>
          <w:lang w:val="bg-BG"/>
        </w:rPr>
        <w:t>,,Студентски практики”</w:t>
      </w:r>
      <w:r w:rsidRPr="006D6553">
        <w:rPr>
          <w:sz w:val="22"/>
          <w:szCs w:val="22"/>
          <w:lang w:val="bg-BG"/>
        </w:rPr>
        <w:t>.</w:t>
      </w:r>
    </w:p>
    <w:p w:rsidR="00F72265" w:rsidRPr="006D6553" w:rsidRDefault="00F72265" w:rsidP="00F72265">
      <w:pPr>
        <w:jc w:val="both"/>
        <w:rPr>
          <w:sz w:val="22"/>
          <w:szCs w:val="22"/>
          <w:lang w:val="bg-BG"/>
        </w:rPr>
      </w:pPr>
    </w:p>
    <w:p w:rsidR="00F72265" w:rsidRPr="006D6553" w:rsidRDefault="00F72265" w:rsidP="00F72265">
      <w:pPr>
        <w:jc w:val="both"/>
        <w:rPr>
          <w:sz w:val="22"/>
          <w:szCs w:val="22"/>
          <w:lang w:val="bg-BG"/>
        </w:rPr>
      </w:pPr>
      <w:r w:rsidRPr="006D6553">
        <w:rPr>
          <w:sz w:val="22"/>
          <w:szCs w:val="22"/>
          <w:lang w:val="bg-BG"/>
        </w:rPr>
        <w:t>Проектите съответстват на стратегическата цел на Оперативната програма за подобряване качеството на живот на хората в България чрез усъвършенстване на човешкия капитал, постигане на високи нива на заетост, повишаване на производителността, достъп до качествено образование и учене през целия живот, и засилване на социалното включване. Вписват се в целите на приоритетната ос 3 „Подобряване качеството на образованието и обучението в съответствие с потребностите на пазара на труда за изграждане на икономика, основана на знанието”, като допълва и разширява действието на сега съществуващите в Република България политики за ученически и студентски практики.</w:t>
      </w:r>
    </w:p>
    <w:p w:rsidR="00F72265" w:rsidRPr="006D6553" w:rsidRDefault="00F72265" w:rsidP="00F72265">
      <w:pPr>
        <w:jc w:val="both"/>
        <w:rPr>
          <w:sz w:val="22"/>
          <w:szCs w:val="22"/>
          <w:lang w:val="bg-BG"/>
        </w:rPr>
      </w:pPr>
      <w:r w:rsidRPr="006D6553">
        <w:rPr>
          <w:sz w:val="22"/>
          <w:szCs w:val="22"/>
          <w:lang w:val="bg-BG"/>
        </w:rPr>
        <w:t>Проектите се изпълняват от Министерството на образованието, младежта и науката като конкретен бенефициент до 31.10.2014 г. Ръководител на двата проекта е д-р Евелина Христова, съветник на министъра на образованието, младежта и науката.</w:t>
      </w:r>
    </w:p>
    <w:p w:rsidR="00F72265" w:rsidRPr="006D6553" w:rsidRDefault="00F72265" w:rsidP="00F72265">
      <w:pPr>
        <w:jc w:val="both"/>
        <w:rPr>
          <w:sz w:val="22"/>
          <w:szCs w:val="22"/>
          <w:lang w:val="bg-BG"/>
        </w:rPr>
      </w:pPr>
      <w:r w:rsidRPr="006D6553">
        <w:rPr>
          <w:b/>
          <w:sz w:val="22"/>
          <w:szCs w:val="22"/>
          <w:lang w:val="bg-BG"/>
        </w:rPr>
        <w:t>Проект 1 “Ученически практики”</w:t>
      </w:r>
      <w:r w:rsidRPr="006D6553">
        <w:rPr>
          <w:sz w:val="22"/>
          <w:szCs w:val="22"/>
          <w:lang w:val="bg-BG"/>
        </w:rPr>
        <w:t xml:space="preserve"> обхваща всички училища от системата на професионалното образование и обучение. Практическо обучение трябва да преминат </w:t>
      </w:r>
      <w:r w:rsidRPr="006D6553">
        <w:rPr>
          <w:b/>
          <w:sz w:val="22"/>
          <w:szCs w:val="22"/>
          <w:lang w:val="bg-BG"/>
        </w:rPr>
        <w:t>46 000 ученици</w:t>
      </w:r>
      <w:r w:rsidRPr="006D6553">
        <w:rPr>
          <w:sz w:val="22"/>
          <w:szCs w:val="22"/>
          <w:lang w:val="bg-BG"/>
        </w:rPr>
        <w:t xml:space="preserve">, а в проекта могат да бъдат включени максимум 53 670. За успешно завършено ще се счита практическото обучение, проведено в реална работна среда в рамките на не повече и не по-малко от </w:t>
      </w:r>
      <w:r w:rsidRPr="006D6553">
        <w:rPr>
          <w:b/>
          <w:sz w:val="22"/>
          <w:szCs w:val="22"/>
          <w:lang w:val="bg-BG"/>
        </w:rPr>
        <w:t>240 часа</w:t>
      </w:r>
      <w:r w:rsidRPr="006D6553">
        <w:rPr>
          <w:sz w:val="22"/>
          <w:szCs w:val="22"/>
          <w:lang w:val="bg-BG"/>
        </w:rPr>
        <w:t xml:space="preserve">. След приключването и отчитането на практиката на ученика се изплаща стипендия в размер от </w:t>
      </w:r>
      <w:r w:rsidRPr="006D6553">
        <w:rPr>
          <w:b/>
          <w:sz w:val="22"/>
          <w:szCs w:val="22"/>
          <w:lang w:val="bg-BG"/>
        </w:rPr>
        <w:t>300 лв.</w:t>
      </w:r>
    </w:p>
    <w:p w:rsidR="00F72265" w:rsidRPr="006D6553" w:rsidRDefault="00F72265" w:rsidP="00F72265">
      <w:pPr>
        <w:jc w:val="both"/>
        <w:rPr>
          <w:sz w:val="22"/>
          <w:szCs w:val="22"/>
          <w:lang w:val="bg-BG"/>
        </w:rPr>
      </w:pPr>
      <w:r w:rsidRPr="006D6553">
        <w:rPr>
          <w:sz w:val="22"/>
          <w:szCs w:val="22"/>
          <w:lang w:val="bg-BG"/>
        </w:rPr>
        <w:t>Всички ученици имат право да се включат само веднъж в рамките на своето обучение в предвиденото практическо обучение в реална работна среда .</w:t>
      </w:r>
    </w:p>
    <w:p w:rsidR="00F72265" w:rsidRPr="006D6553" w:rsidRDefault="00F72265" w:rsidP="00F72265">
      <w:pPr>
        <w:jc w:val="both"/>
        <w:rPr>
          <w:sz w:val="22"/>
          <w:szCs w:val="22"/>
          <w:lang w:val="bg-BG"/>
        </w:rPr>
      </w:pPr>
      <w:r w:rsidRPr="006D6553">
        <w:rPr>
          <w:sz w:val="22"/>
          <w:szCs w:val="22"/>
          <w:lang w:val="bg-BG"/>
        </w:rPr>
        <w:t xml:space="preserve">В бюджета на проекта са заложени и средства за възнаграждение на наставници в училищата и ментори от страна на работодателя. </w:t>
      </w:r>
    </w:p>
    <w:p w:rsidR="00F72265" w:rsidRPr="006D6553" w:rsidRDefault="00F72265" w:rsidP="00F72265">
      <w:pPr>
        <w:jc w:val="both"/>
        <w:rPr>
          <w:sz w:val="22"/>
          <w:szCs w:val="22"/>
          <w:lang w:val="bg-BG"/>
        </w:rPr>
      </w:pPr>
      <w:r w:rsidRPr="006D6553">
        <w:rPr>
          <w:sz w:val="22"/>
          <w:szCs w:val="22"/>
          <w:lang w:val="bg-BG"/>
        </w:rPr>
        <w:t>Бюджетът на проект “Ученически практики” е 30 000 000 лева.</w:t>
      </w:r>
    </w:p>
    <w:p w:rsidR="00F72265" w:rsidRPr="006D6553" w:rsidRDefault="00F72265" w:rsidP="00F72265">
      <w:pPr>
        <w:tabs>
          <w:tab w:val="left" w:pos="778"/>
        </w:tabs>
        <w:jc w:val="both"/>
        <w:rPr>
          <w:sz w:val="22"/>
          <w:szCs w:val="22"/>
          <w:lang w:val="bg-BG"/>
        </w:rPr>
      </w:pPr>
    </w:p>
    <w:p w:rsidR="00F72265" w:rsidRPr="006D6553" w:rsidRDefault="00F72265" w:rsidP="00F72265">
      <w:pPr>
        <w:jc w:val="both"/>
        <w:rPr>
          <w:b/>
          <w:sz w:val="22"/>
          <w:szCs w:val="22"/>
          <w:lang w:val="bg-BG"/>
        </w:rPr>
      </w:pPr>
      <w:r w:rsidRPr="006D6553">
        <w:rPr>
          <w:b/>
          <w:sz w:val="22"/>
          <w:szCs w:val="22"/>
          <w:lang w:val="bg-BG"/>
        </w:rPr>
        <w:t>Кой може да кандидатства?</w:t>
      </w:r>
    </w:p>
    <w:p w:rsidR="00F72265" w:rsidRPr="006D6553" w:rsidRDefault="00F72265" w:rsidP="00F72265">
      <w:pPr>
        <w:jc w:val="both"/>
        <w:rPr>
          <w:sz w:val="22"/>
          <w:szCs w:val="22"/>
          <w:lang w:val="bg-BG"/>
        </w:rPr>
      </w:pPr>
      <w:r w:rsidRPr="006D6553">
        <w:rPr>
          <w:sz w:val="22"/>
          <w:szCs w:val="22"/>
          <w:lang w:val="bg-BG"/>
        </w:rPr>
        <w:t>Да кандидатстват имат право всички ученици от училищата от системата на професионалното образование и обучение в Република България.</w:t>
      </w:r>
    </w:p>
    <w:p w:rsidR="00F72265" w:rsidRPr="006D6553" w:rsidRDefault="00F72265" w:rsidP="00F72265">
      <w:pPr>
        <w:jc w:val="both"/>
        <w:rPr>
          <w:sz w:val="22"/>
          <w:szCs w:val="22"/>
          <w:lang w:val="bg-BG"/>
        </w:rPr>
      </w:pPr>
    </w:p>
    <w:p w:rsidR="00F72265" w:rsidRPr="006D6553" w:rsidRDefault="00F72265" w:rsidP="00F72265">
      <w:pPr>
        <w:jc w:val="both"/>
        <w:rPr>
          <w:sz w:val="22"/>
          <w:szCs w:val="22"/>
          <w:lang w:val="bg-BG"/>
        </w:rPr>
      </w:pPr>
      <w:r w:rsidRPr="006D6553">
        <w:rPr>
          <w:snapToGrid w:val="0"/>
          <w:sz w:val="22"/>
          <w:szCs w:val="22"/>
          <w:lang w:val="bg-BG"/>
        </w:rPr>
        <w:t xml:space="preserve">На етап кандидатстване студентите ще създадат свой профил, в който ще могат да представят накратко себе си. Студентите, ще публикуват документи (напр. уверение студентско положение, сертификати за придобити умения и др.). По този начин те ще получат възможността да кандидатстват за обявените от регистрираните работодатели позиции. </w:t>
      </w:r>
      <w:r w:rsidRPr="006D6553">
        <w:rPr>
          <w:sz w:val="22"/>
          <w:szCs w:val="22"/>
          <w:lang w:val="bg-BG"/>
        </w:rPr>
        <w:t>Системата ще филтрира и насочва студентите към свободните позиции от областта на тяхното образование. Работодателите ще могат да подбират и канят на интервю кандидатите според информацията и документите на студентите.</w:t>
      </w:r>
    </w:p>
    <w:p w:rsidR="00F72265" w:rsidRPr="006D6553" w:rsidRDefault="00F72265" w:rsidP="00F72265">
      <w:pPr>
        <w:jc w:val="both"/>
        <w:rPr>
          <w:b/>
          <w:sz w:val="22"/>
          <w:szCs w:val="22"/>
          <w:lang w:val="bg-BG"/>
        </w:rPr>
      </w:pPr>
    </w:p>
    <w:p w:rsidR="00F72265" w:rsidRPr="006D6553" w:rsidRDefault="00F72265" w:rsidP="00F72265">
      <w:pPr>
        <w:jc w:val="both"/>
        <w:rPr>
          <w:b/>
          <w:sz w:val="22"/>
          <w:szCs w:val="22"/>
          <w:lang w:val="bg-BG"/>
        </w:rPr>
      </w:pPr>
      <w:r w:rsidRPr="006D6553">
        <w:rPr>
          <w:b/>
          <w:sz w:val="22"/>
          <w:szCs w:val="22"/>
          <w:lang w:val="bg-BG"/>
        </w:rPr>
        <w:t>Кандидатстване ученици/студенти</w:t>
      </w:r>
    </w:p>
    <w:p w:rsidR="00F72265" w:rsidRPr="006D6553" w:rsidRDefault="00F72265" w:rsidP="00F72265">
      <w:pPr>
        <w:jc w:val="both"/>
        <w:rPr>
          <w:snapToGrid w:val="0"/>
          <w:sz w:val="22"/>
          <w:szCs w:val="22"/>
          <w:lang w:val="bg-BG"/>
        </w:rPr>
      </w:pPr>
      <w:r w:rsidRPr="006D6553">
        <w:rPr>
          <w:sz w:val="22"/>
          <w:szCs w:val="22"/>
          <w:lang w:val="bg-BG"/>
        </w:rPr>
        <w:t xml:space="preserve">За максимално улеснение на участниците в проекта кандидатстването ще се осъществява изцяло по електронен път чрез </w:t>
      </w:r>
      <w:r w:rsidRPr="006D6553">
        <w:rPr>
          <w:b/>
          <w:sz w:val="22"/>
          <w:szCs w:val="22"/>
          <w:lang w:val="bg-BG"/>
        </w:rPr>
        <w:t>уеб-базираната система,</w:t>
      </w:r>
      <w:r w:rsidRPr="006D6553">
        <w:rPr>
          <w:sz w:val="22"/>
          <w:szCs w:val="22"/>
          <w:lang w:val="bg-BG"/>
        </w:rPr>
        <w:t xml:space="preserve"> която вече  функционира за регистрация на организациите-работодател, а за регисрация на училищата очакваме да бъде функционална през ноември 2012 година.</w:t>
      </w:r>
      <w:r w:rsidRPr="006D6553">
        <w:rPr>
          <w:snapToGrid w:val="0"/>
          <w:sz w:val="22"/>
          <w:szCs w:val="22"/>
          <w:lang w:val="bg-BG"/>
        </w:rPr>
        <w:t xml:space="preserve"> </w:t>
      </w:r>
    </w:p>
    <w:p w:rsidR="00F72265" w:rsidRPr="006D6553" w:rsidRDefault="00F72265" w:rsidP="00F72265">
      <w:pPr>
        <w:jc w:val="both"/>
        <w:rPr>
          <w:sz w:val="22"/>
          <w:szCs w:val="22"/>
          <w:lang w:val="bg-BG"/>
        </w:rPr>
      </w:pPr>
      <w:r w:rsidRPr="006D6553">
        <w:rPr>
          <w:snapToGrid w:val="0"/>
          <w:sz w:val="22"/>
          <w:szCs w:val="22"/>
          <w:lang w:val="bg-BG"/>
        </w:rPr>
        <w:t xml:space="preserve">На етап кандидатстване училищата ще създадат свой профил, в който ще могат да представят накратко себе си. По този начин те ще получат възможността да кандидатстват за обявените от регистрираните работодатели позиции. Училищата посочват професиите по които учениците желаят да провежда ученически практики. </w:t>
      </w:r>
      <w:r w:rsidRPr="006D6553">
        <w:rPr>
          <w:sz w:val="22"/>
          <w:szCs w:val="22"/>
          <w:lang w:val="bg-BG"/>
        </w:rPr>
        <w:t>Системата ще филтрира и насочва учениците към свободните позиции от областта на тяхното образование. Работодателите ще могат да подбират кандидатите според информацията и документите на учениците.</w:t>
      </w:r>
    </w:p>
    <w:p w:rsidR="00F72265" w:rsidRPr="006D6553" w:rsidRDefault="00F72265" w:rsidP="00F72265">
      <w:pPr>
        <w:jc w:val="both"/>
        <w:rPr>
          <w:sz w:val="22"/>
          <w:szCs w:val="22"/>
          <w:lang w:val="bg-BG"/>
        </w:rPr>
      </w:pPr>
    </w:p>
    <w:p w:rsidR="00F72265" w:rsidRPr="006D6553" w:rsidRDefault="00F72265" w:rsidP="00F72265">
      <w:pPr>
        <w:jc w:val="both"/>
        <w:rPr>
          <w:b/>
          <w:sz w:val="22"/>
          <w:szCs w:val="22"/>
          <w:lang w:val="bg-BG"/>
        </w:rPr>
      </w:pPr>
      <w:r w:rsidRPr="006D6553">
        <w:rPr>
          <w:b/>
          <w:sz w:val="22"/>
          <w:szCs w:val="22"/>
          <w:lang w:val="bg-BG"/>
        </w:rPr>
        <w:lastRenderedPageBreak/>
        <w:t>Кандидатстване работодатели</w:t>
      </w:r>
    </w:p>
    <w:p w:rsidR="00F72265" w:rsidRPr="006D6553" w:rsidRDefault="00F72265" w:rsidP="00F72265">
      <w:pPr>
        <w:jc w:val="both"/>
        <w:rPr>
          <w:sz w:val="22"/>
          <w:szCs w:val="22"/>
          <w:lang w:val="bg-BG"/>
        </w:rPr>
      </w:pPr>
      <w:r w:rsidRPr="006D6553">
        <w:rPr>
          <w:sz w:val="22"/>
          <w:szCs w:val="22"/>
          <w:lang w:val="bg-BG"/>
        </w:rPr>
        <w:t xml:space="preserve">Като работодатели по проекта имат право да кандидатстват всички </w:t>
      </w:r>
      <w:r w:rsidRPr="006D6553">
        <w:rPr>
          <w:snapToGrid w:val="0"/>
          <w:sz w:val="22"/>
          <w:szCs w:val="22"/>
          <w:lang w:val="bg-BG"/>
        </w:rPr>
        <w:t>стопански и нестопански дружества, държавна и общинска администрация, държавни институции, търговски дружества, обучителни организации, работодателски организации и други юридически лица. Достъпът и регистрацията на работодателите е напълно свободен чрез интернет страницата на проекта (</w:t>
      </w:r>
      <w:hyperlink r:id="rId8" w:history="1">
        <w:r w:rsidRPr="006D6553">
          <w:rPr>
            <w:rStyle w:val="Hyperlink"/>
            <w:snapToGrid w:val="0"/>
            <w:sz w:val="22"/>
            <w:szCs w:val="22"/>
            <w:lang w:val="bg-BG"/>
          </w:rPr>
          <w:t>praktiki.mon.bg</w:t>
        </w:r>
      </w:hyperlink>
      <w:r w:rsidRPr="006D6553">
        <w:rPr>
          <w:snapToGrid w:val="0"/>
          <w:sz w:val="22"/>
          <w:szCs w:val="22"/>
          <w:lang w:val="bg-BG"/>
        </w:rPr>
        <w:t>). Отвореността на процеса по набиране на работодатели предпоставя и известна конкуренция между тях чрез възможността да представят себе си по подходящ начин, за да привлекат най-добрите ученици или студенти.</w:t>
      </w:r>
    </w:p>
    <w:p w:rsidR="00F72265" w:rsidRPr="006D6553" w:rsidRDefault="00F72265" w:rsidP="00F72265">
      <w:pPr>
        <w:jc w:val="both"/>
        <w:rPr>
          <w:b/>
          <w:sz w:val="22"/>
          <w:szCs w:val="22"/>
          <w:lang w:val="bg-BG"/>
        </w:rPr>
      </w:pPr>
    </w:p>
    <w:p w:rsidR="00F72265" w:rsidRPr="006D6553" w:rsidRDefault="00F72265" w:rsidP="00F72265">
      <w:pPr>
        <w:jc w:val="both"/>
        <w:rPr>
          <w:b/>
          <w:sz w:val="22"/>
          <w:szCs w:val="22"/>
          <w:lang w:val="bg-BG"/>
        </w:rPr>
      </w:pPr>
      <w:r w:rsidRPr="006D6553">
        <w:rPr>
          <w:b/>
          <w:sz w:val="22"/>
          <w:szCs w:val="22"/>
          <w:lang w:val="bg-BG"/>
        </w:rPr>
        <w:t>Наставничество на ученици</w:t>
      </w:r>
    </w:p>
    <w:p w:rsidR="00F72265" w:rsidRPr="006D6553" w:rsidRDefault="00F72265" w:rsidP="00F72265">
      <w:pPr>
        <w:jc w:val="both"/>
        <w:rPr>
          <w:sz w:val="22"/>
          <w:szCs w:val="22"/>
          <w:lang w:val="bg-BG"/>
        </w:rPr>
      </w:pPr>
      <w:r w:rsidRPr="006D6553">
        <w:rPr>
          <w:sz w:val="22"/>
          <w:szCs w:val="22"/>
          <w:lang w:val="bg-BG"/>
        </w:rPr>
        <w:t>Наставници на учениците са работници и служители от предприятията, предоставили места за провеждането на практиката на учениците. Предвижда се в реализирането на ученическите практики да се включат до 5000 наставници, всеки от които ще ръководи група от 1 до 20 ученици. На наставниците ще се заплащат до 9 часа за работата им с всеки един ученик по време на неговата практика. Средствата са осигурени от бюджета на проекта. Наставниците ще участват в изработването на програми и методика за проверка на резултатите на учениците в сътрудничество с наблюдаващите учители.</w:t>
      </w:r>
    </w:p>
    <w:p w:rsidR="00F72265" w:rsidRPr="006D6553" w:rsidRDefault="00F72265" w:rsidP="00F72265">
      <w:pPr>
        <w:rPr>
          <w:sz w:val="22"/>
          <w:szCs w:val="22"/>
          <w:lang w:val="bg-BG"/>
        </w:rPr>
      </w:pPr>
    </w:p>
    <w:p w:rsidR="00F72265" w:rsidRPr="006D6553" w:rsidRDefault="00F72265" w:rsidP="00F72265">
      <w:pPr>
        <w:jc w:val="both"/>
        <w:rPr>
          <w:sz w:val="22"/>
          <w:szCs w:val="22"/>
          <w:lang w:val="bg-BG"/>
        </w:rPr>
      </w:pPr>
      <w:r w:rsidRPr="006D6553">
        <w:rPr>
          <w:b/>
          <w:sz w:val="22"/>
          <w:szCs w:val="22"/>
          <w:lang w:val="bg-BG"/>
        </w:rPr>
        <w:t>Уеб-базирана система</w:t>
      </w:r>
    </w:p>
    <w:p w:rsidR="00F72265" w:rsidRPr="006D6553" w:rsidRDefault="00F72265" w:rsidP="00F72265">
      <w:pPr>
        <w:jc w:val="both"/>
        <w:rPr>
          <w:sz w:val="22"/>
          <w:szCs w:val="22"/>
          <w:lang w:val="bg-BG"/>
        </w:rPr>
      </w:pPr>
      <w:r w:rsidRPr="006D6553">
        <w:rPr>
          <w:sz w:val="22"/>
          <w:szCs w:val="22"/>
          <w:lang w:val="bg-BG"/>
        </w:rPr>
        <w:t xml:space="preserve">За целите на изпълнението и управлението на цялостния процес по реализацията на ученическите и студентските практики ще бъде създадена </w:t>
      </w:r>
      <w:r w:rsidRPr="006D6553">
        <w:rPr>
          <w:b/>
          <w:sz w:val="22"/>
          <w:szCs w:val="22"/>
          <w:lang w:val="bg-BG"/>
        </w:rPr>
        <w:t xml:space="preserve">уеб-базирана система. </w:t>
      </w:r>
      <w:r w:rsidRPr="006D6553">
        <w:rPr>
          <w:sz w:val="22"/>
          <w:szCs w:val="22"/>
          <w:lang w:val="bg-BG"/>
        </w:rPr>
        <w:t xml:space="preserve">Основните дейности по набиране на работодатели и ментори, публикуването на свободни позиции, процеса на кандидатстване за практическо обучение, набирането на преподаватели за наставници, модули за е-обучения, е-обслужване и е-удостоверяване на проведената практиката се планира да бъдат реализирани онлайн чрез нея. Подробно ще бъдат описани поетапните стъпки за кандидатстване и одобряване за участие в практиката, електронни формуляри, договори за практическото обучение, методически и обучителни документи, отчетни и други документи, справочни данни за контрол на извършените практически обучения, индивидуални профили на учениците, студентите, работодателите, професионалните гимназии и висшите училища. Системата предвижда и функциониращи динамични модули за контрол, проследяване и удостоверяване на практическото обучение от страна на </w:t>
      </w:r>
      <w:r w:rsidR="006D6553">
        <w:rPr>
          <w:sz w:val="22"/>
          <w:szCs w:val="22"/>
          <w:lang w:val="bg-BG"/>
        </w:rPr>
        <w:t>наставниците</w:t>
      </w:r>
      <w:r w:rsidRPr="006D6553">
        <w:rPr>
          <w:sz w:val="22"/>
          <w:szCs w:val="22"/>
          <w:lang w:val="bg-BG"/>
        </w:rPr>
        <w:t xml:space="preserve"> и ментор</w:t>
      </w:r>
      <w:r w:rsidR="006D6553">
        <w:rPr>
          <w:sz w:val="22"/>
          <w:szCs w:val="22"/>
          <w:lang w:val="bg-BG"/>
        </w:rPr>
        <w:t>ите</w:t>
      </w:r>
      <w:r w:rsidRPr="006D6553">
        <w:rPr>
          <w:sz w:val="22"/>
          <w:szCs w:val="22"/>
          <w:lang w:val="bg-BG"/>
        </w:rPr>
        <w:t xml:space="preserve"> от организацията-работодател и други функционалности.</w:t>
      </w:r>
    </w:p>
    <w:p w:rsidR="00F72265" w:rsidRPr="006D6553" w:rsidRDefault="00F72265" w:rsidP="00F72265">
      <w:pPr>
        <w:jc w:val="both"/>
        <w:rPr>
          <w:sz w:val="22"/>
          <w:szCs w:val="22"/>
          <w:lang w:val="bg-BG"/>
        </w:rPr>
      </w:pPr>
      <w:r w:rsidRPr="006D6553">
        <w:rPr>
          <w:snapToGrid w:val="0"/>
          <w:sz w:val="22"/>
          <w:szCs w:val="22"/>
          <w:lang w:val="bg-BG"/>
        </w:rPr>
        <w:t>Свободният достъп до уеб-системата ще позволи взаимен контрол и коректив на всички участници в процеса – работодатели, студенти, наставници, ментори, администрация, експерти от висшите училища, екип на проекта. Широката достъпност и прозрачност на всяко от действията ще подпомогне постигането на висока степен на истинност на подадената информация и ще стимулира атрактивното и убедителното й поднасяне от страна на работодателите и учениците и студентите, кандидатстващи за свободни позиции.</w:t>
      </w:r>
    </w:p>
    <w:p w:rsidR="00F72265" w:rsidRPr="006D6553" w:rsidRDefault="00F72265" w:rsidP="00F72265">
      <w:pPr>
        <w:jc w:val="both"/>
        <w:rPr>
          <w:b/>
          <w:sz w:val="22"/>
          <w:szCs w:val="22"/>
          <w:lang w:val="bg-BG"/>
        </w:rPr>
      </w:pPr>
    </w:p>
    <w:p w:rsidR="00F72265" w:rsidRPr="006D6553" w:rsidRDefault="00F72265" w:rsidP="00F72265">
      <w:pPr>
        <w:jc w:val="both"/>
        <w:rPr>
          <w:b/>
          <w:sz w:val="22"/>
          <w:szCs w:val="22"/>
          <w:lang w:val="bg-BG"/>
        </w:rPr>
      </w:pPr>
      <w:r w:rsidRPr="006D6553">
        <w:rPr>
          <w:b/>
          <w:sz w:val="22"/>
          <w:szCs w:val="22"/>
          <w:lang w:val="bg-BG"/>
        </w:rPr>
        <w:t>Цели, към които се стремим:</w:t>
      </w:r>
    </w:p>
    <w:p w:rsidR="00F72265" w:rsidRPr="006D6553" w:rsidRDefault="00F72265" w:rsidP="00F72265">
      <w:pPr>
        <w:jc w:val="both"/>
        <w:rPr>
          <w:sz w:val="22"/>
          <w:szCs w:val="22"/>
          <w:lang w:val="bg-BG"/>
        </w:rPr>
      </w:pPr>
      <w:r w:rsidRPr="006D6553">
        <w:rPr>
          <w:sz w:val="22"/>
          <w:szCs w:val="22"/>
          <w:lang w:val="bg-BG"/>
        </w:rPr>
        <w:t xml:space="preserve">• да подпомогнем подобряването на качеството на образование чрез предоставяне на възможности за придобиване на практически опит и усъвършенстване на практическите умения на учениците от професионалните гимназии и студентите от висшите училища в съответствие с потребностите на пазара на труда;  </w:t>
      </w:r>
    </w:p>
    <w:p w:rsidR="00F72265" w:rsidRPr="006D6553" w:rsidRDefault="00F72265" w:rsidP="00F72265">
      <w:pPr>
        <w:jc w:val="both"/>
        <w:rPr>
          <w:sz w:val="22"/>
          <w:szCs w:val="22"/>
          <w:lang w:val="bg-BG"/>
        </w:rPr>
      </w:pPr>
      <w:r w:rsidRPr="006D6553">
        <w:rPr>
          <w:sz w:val="22"/>
          <w:szCs w:val="22"/>
          <w:lang w:val="bg-BG"/>
        </w:rPr>
        <w:t>• да улесним прехода от образователните институции към работното място и повишим успешната реализация на младите хора на трудовия пазар;</w:t>
      </w:r>
    </w:p>
    <w:p w:rsidR="00F72265" w:rsidRPr="006D6553" w:rsidRDefault="00F72265" w:rsidP="00F72265">
      <w:pPr>
        <w:jc w:val="both"/>
        <w:rPr>
          <w:sz w:val="22"/>
          <w:szCs w:val="22"/>
          <w:lang w:val="bg-BG"/>
        </w:rPr>
      </w:pPr>
      <w:r w:rsidRPr="006D6553">
        <w:rPr>
          <w:sz w:val="22"/>
          <w:szCs w:val="22"/>
          <w:lang w:val="bg-BG"/>
        </w:rPr>
        <w:t>• да подпомогнем и насърчим изграждането на стабилни партньорства между образователните институции и бизнеса;</w:t>
      </w:r>
    </w:p>
    <w:p w:rsidR="00F72265" w:rsidRPr="006D6553" w:rsidRDefault="00F72265" w:rsidP="00F72265">
      <w:pPr>
        <w:jc w:val="both"/>
        <w:rPr>
          <w:sz w:val="22"/>
          <w:szCs w:val="22"/>
          <w:lang w:val="bg-BG"/>
        </w:rPr>
      </w:pPr>
      <w:r w:rsidRPr="006D6553">
        <w:rPr>
          <w:sz w:val="22"/>
          <w:szCs w:val="22"/>
          <w:lang w:val="bg-BG"/>
        </w:rPr>
        <w:t>• да увеличим стимулите на учениците и студентите за участие в допълнително практическо обучение в реална работна среда;</w:t>
      </w:r>
    </w:p>
    <w:p w:rsidR="00F72265" w:rsidRPr="006D6553" w:rsidRDefault="00F72265" w:rsidP="00F72265">
      <w:pPr>
        <w:jc w:val="both"/>
        <w:rPr>
          <w:sz w:val="22"/>
          <w:szCs w:val="22"/>
          <w:lang w:val="bg-BG"/>
        </w:rPr>
      </w:pPr>
      <w:r w:rsidRPr="006D6553">
        <w:rPr>
          <w:sz w:val="22"/>
          <w:szCs w:val="22"/>
          <w:lang w:val="bg-BG"/>
        </w:rPr>
        <w:t>• да стимулираме нарастването на броя на учениците и студентите, които си намират работа непосредствено след дипломирането;</w:t>
      </w:r>
    </w:p>
    <w:p w:rsidR="00F72265" w:rsidRPr="006D6553" w:rsidRDefault="00F72265" w:rsidP="00F72265">
      <w:pPr>
        <w:jc w:val="both"/>
        <w:rPr>
          <w:sz w:val="22"/>
          <w:szCs w:val="22"/>
          <w:lang w:val="bg-BG"/>
        </w:rPr>
      </w:pPr>
      <w:r w:rsidRPr="006D6553">
        <w:rPr>
          <w:sz w:val="22"/>
          <w:szCs w:val="22"/>
          <w:lang w:val="bg-BG"/>
        </w:rPr>
        <w:t>• да осигурим предпоставки за осъвременяване както на учебните планове като цяло, така и на преподаваните дисциплини, курсове и теми според нуждите на пазара на труда;</w:t>
      </w:r>
    </w:p>
    <w:p w:rsidR="00C0330F" w:rsidRPr="00381EF5" w:rsidRDefault="00F72265" w:rsidP="00381EF5">
      <w:pPr>
        <w:jc w:val="both"/>
        <w:rPr>
          <w:sz w:val="22"/>
          <w:szCs w:val="22"/>
          <w:lang w:val="bg-BG"/>
        </w:rPr>
      </w:pPr>
      <w:r w:rsidRPr="006D6553">
        <w:rPr>
          <w:sz w:val="22"/>
          <w:szCs w:val="22"/>
          <w:lang w:val="bg-BG"/>
        </w:rPr>
        <w:t>• да подпомогнем създаването на устойчиви механизми и възможности на работдателите за подбор на ученици и студенти, доказали умения в реална работна среда, и за непосредственото им включване на пазара на труда;</w:t>
      </w:r>
    </w:p>
    <w:sectPr w:rsidR="00C0330F" w:rsidRPr="00381EF5" w:rsidSect="001A053C">
      <w:headerReference w:type="default" r:id="rId9"/>
      <w:footerReference w:type="default" r:id="rId10"/>
      <w:pgSz w:w="11906" w:h="16838"/>
      <w:pgMar w:top="1985" w:right="851" w:bottom="1134" w:left="851" w:header="425" w:footer="4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12F" w:rsidRDefault="00E3112F">
      <w:r>
        <w:separator/>
      </w:r>
    </w:p>
  </w:endnote>
  <w:endnote w:type="continuationSeparator" w:id="0">
    <w:p w:rsidR="00E3112F" w:rsidRDefault="00E311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HebarU">
    <w:panose1 w:val="00000400000000000000"/>
    <w:charset w:val="00"/>
    <w:family w:val="auto"/>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553" w:rsidRDefault="00DA2C6F">
    <w:pPr>
      <w:pStyle w:val="Footer"/>
      <w:jc w:val="center"/>
      <w:rPr>
        <w:lang w:val="bg-BG"/>
      </w:rPr>
    </w:pPr>
    <w:r>
      <w:rPr>
        <w:noProof/>
        <w:lang w:val="bg-BG" w:eastAsia="bg-BG"/>
      </w:rPr>
      <w:drawing>
        <wp:inline distT="0" distB="0" distL="0" distR="0">
          <wp:extent cx="1677670" cy="367030"/>
          <wp:effectExtent l="19050" t="0" r="0" b="0"/>
          <wp:docPr id="2" name="Picture 2" descr="MON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M4"/>
                  <pic:cNvPicPr>
                    <a:picLocks noChangeAspect="1" noChangeArrowheads="1"/>
                  </pic:cNvPicPr>
                </pic:nvPicPr>
                <pic:blipFill>
                  <a:blip r:embed="rId1"/>
                  <a:srcRect/>
                  <a:stretch>
                    <a:fillRect/>
                  </a:stretch>
                </pic:blipFill>
                <pic:spPr bwMode="auto">
                  <a:xfrm>
                    <a:off x="0" y="0"/>
                    <a:ext cx="1677670" cy="36703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12F" w:rsidRDefault="00E3112F">
      <w:r>
        <w:separator/>
      </w:r>
    </w:p>
  </w:footnote>
  <w:footnote w:type="continuationSeparator" w:id="0">
    <w:p w:rsidR="00E3112F" w:rsidRDefault="00E311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553" w:rsidRPr="001A053C" w:rsidRDefault="00DA2C6F" w:rsidP="002171DB">
    <w:pPr>
      <w:pStyle w:val="Header"/>
      <w:tabs>
        <w:tab w:val="left" w:pos="2505"/>
        <w:tab w:val="center" w:pos="4394"/>
        <w:tab w:val="center" w:pos="4421"/>
        <w:tab w:val="left" w:pos="7725"/>
      </w:tabs>
      <w:jc w:val="center"/>
      <w:rPr>
        <w:b/>
        <w:caps/>
        <w:lang w:val="bg-BG"/>
      </w:rPr>
    </w:pPr>
    <w:r>
      <w:rPr>
        <w:b/>
        <w:caps/>
        <w:noProof/>
        <w:lang w:val="bg-BG" w:eastAsia="bg-BG"/>
      </w:rPr>
      <w:drawing>
        <wp:anchor distT="0" distB="0" distL="114300" distR="114300" simplePos="0" relativeHeight="251656704" behindDoc="0" locked="0" layoutInCell="1" allowOverlap="1">
          <wp:simplePos x="0" y="0"/>
          <wp:positionH relativeFrom="column">
            <wp:posOffset>38100</wp:posOffset>
          </wp:positionH>
          <wp:positionV relativeFrom="paragraph">
            <wp:posOffset>-6985</wp:posOffset>
          </wp:positionV>
          <wp:extent cx="876300" cy="721360"/>
          <wp:effectExtent l="19050" t="0" r="0" b="0"/>
          <wp:wrapNone/>
          <wp:docPr id="8" name="Picture 8" descr="EU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U_logo_bw"/>
                  <pic:cNvPicPr>
                    <a:picLocks noChangeAspect="1" noChangeArrowheads="1"/>
                  </pic:cNvPicPr>
                </pic:nvPicPr>
                <pic:blipFill>
                  <a:blip r:embed="rId1"/>
                  <a:srcRect/>
                  <a:stretch>
                    <a:fillRect/>
                  </a:stretch>
                </pic:blipFill>
                <pic:spPr bwMode="auto">
                  <a:xfrm>
                    <a:off x="0" y="0"/>
                    <a:ext cx="876300" cy="721360"/>
                  </a:xfrm>
                  <a:prstGeom prst="rect">
                    <a:avLst/>
                  </a:prstGeom>
                  <a:noFill/>
                  <a:ln w="9525">
                    <a:noFill/>
                    <a:miter lim="800000"/>
                    <a:headEnd/>
                    <a:tailEnd/>
                  </a:ln>
                </pic:spPr>
              </pic:pic>
            </a:graphicData>
          </a:graphic>
        </wp:anchor>
      </w:drawing>
    </w:r>
    <w:r>
      <w:rPr>
        <w:b/>
        <w:caps/>
        <w:noProof/>
        <w:lang w:val="bg-BG" w:eastAsia="bg-BG"/>
      </w:rPr>
      <w:drawing>
        <wp:anchor distT="0" distB="0" distL="114300" distR="114300" simplePos="0" relativeHeight="251657728" behindDoc="0" locked="0" layoutInCell="1" allowOverlap="1">
          <wp:simplePos x="0" y="0"/>
          <wp:positionH relativeFrom="column">
            <wp:posOffset>5605145</wp:posOffset>
          </wp:positionH>
          <wp:positionV relativeFrom="paragraph">
            <wp:posOffset>-38100</wp:posOffset>
          </wp:positionV>
          <wp:extent cx="914400" cy="752475"/>
          <wp:effectExtent l="19050" t="0" r="0" b="0"/>
          <wp:wrapNone/>
          <wp:docPr id="9" name="Picture 9" descr="ESF_logo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F_logo_gray"/>
                  <pic:cNvPicPr>
                    <a:picLocks noChangeAspect="1" noChangeArrowheads="1"/>
                  </pic:cNvPicPr>
                </pic:nvPicPr>
                <pic:blipFill>
                  <a:blip r:embed="rId2"/>
                  <a:srcRect/>
                  <a:stretch>
                    <a:fillRect/>
                  </a:stretch>
                </pic:blipFill>
                <pic:spPr bwMode="auto">
                  <a:xfrm>
                    <a:off x="0" y="0"/>
                    <a:ext cx="914400" cy="752475"/>
                  </a:xfrm>
                  <a:prstGeom prst="rect">
                    <a:avLst/>
                  </a:prstGeom>
                  <a:noFill/>
                  <a:ln w="9525">
                    <a:noFill/>
                    <a:miter lim="800000"/>
                    <a:headEnd/>
                    <a:tailEnd/>
                  </a:ln>
                </pic:spPr>
              </pic:pic>
            </a:graphicData>
          </a:graphic>
        </wp:anchor>
      </w:drawing>
    </w:r>
    <w:r w:rsidR="006D6553" w:rsidRPr="001A053C">
      <w:rPr>
        <w:b/>
        <w:caps/>
        <w:lang w:val="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left:0;text-align:left;margin-left:0;margin-top:0;width:459.9pt;height:291.85pt;z-index:-251660800;mso-position-horizontal:center;mso-position-horizontal-relative:margin;mso-position-vertical:center;mso-position-vertical-relative:margin" o:allowincell="f">
          <v:imagedata r:id="rId3" o:title="stars"/>
        </v:shape>
      </w:pict>
    </w:r>
    <w:r w:rsidR="006D6553" w:rsidRPr="001A053C">
      <w:rPr>
        <w:b/>
        <w:caps/>
        <w:lang w:val="bg-BG"/>
      </w:rPr>
      <w:pict>
        <v:shape id="_x0000_s2058" type="#_x0000_t75" style="position:absolute;left:0;text-align:left;margin-left:0;margin-top:0;width:459.9pt;height:291.85pt;z-index:-251657728;mso-position-horizontal:center;mso-position-horizontal-relative:margin;mso-position-vertical:center;mso-position-vertical-relative:margin" o:allowincell="f">
          <v:imagedata r:id="rId3" o:title="stars"/>
        </v:shape>
      </w:pict>
    </w:r>
    <w:r w:rsidR="006D6553">
      <w:rPr>
        <w:b/>
        <w:caps/>
        <w:lang w:val="bg-BG"/>
      </w:rPr>
      <w:t>ПРОЕКТ BG051PO001-3.3.07-0001</w:t>
    </w:r>
  </w:p>
  <w:p w:rsidR="000353F0" w:rsidRDefault="006D6553" w:rsidP="000353F0">
    <w:pPr>
      <w:pStyle w:val="Header"/>
      <w:tabs>
        <w:tab w:val="center" w:pos="4421"/>
        <w:tab w:val="left" w:pos="7725"/>
      </w:tabs>
      <w:jc w:val="center"/>
      <w:rPr>
        <w:b/>
        <w:caps/>
        <w:lang w:val="bg-BG"/>
      </w:rPr>
    </w:pPr>
    <w:r w:rsidRPr="001A053C">
      <w:rPr>
        <w:b/>
        <w:caps/>
        <w:lang w:val="bg-BG"/>
      </w:rPr>
      <w:t>„</w:t>
    </w:r>
    <w:r w:rsidRPr="00F72265">
      <w:rPr>
        <w:b/>
        <w:sz w:val="24"/>
        <w:szCs w:val="24"/>
        <w:lang w:val="bg-BG"/>
      </w:rPr>
      <w:t xml:space="preserve"> </w:t>
    </w:r>
    <w:r w:rsidRPr="00F72265">
      <w:rPr>
        <w:b/>
        <w:lang w:val="bg-BG"/>
      </w:rPr>
      <w:t>УЧЕНИЧЕСКИ</w:t>
    </w:r>
    <w:r w:rsidRPr="0001517E">
      <w:rPr>
        <w:b/>
        <w:sz w:val="24"/>
        <w:szCs w:val="24"/>
        <w:lang w:val="bg-BG"/>
      </w:rPr>
      <w:t xml:space="preserve"> </w:t>
    </w:r>
    <w:r w:rsidRPr="001A053C">
      <w:rPr>
        <w:b/>
        <w:caps/>
        <w:lang w:val="bg-BG"/>
      </w:rPr>
      <w:t>ПРАКТИКИ“</w:t>
    </w:r>
  </w:p>
  <w:p w:rsidR="006D6553" w:rsidRPr="000353F0" w:rsidRDefault="006D6553" w:rsidP="000353F0">
    <w:pPr>
      <w:pStyle w:val="Header"/>
      <w:tabs>
        <w:tab w:val="center" w:pos="4421"/>
        <w:tab w:val="left" w:pos="7725"/>
      </w:tabs>
      <w:spacing w:before="120"/>
      <w:jc w:val="center"/>
      <w:rPr>
        <w:b/>
        <w:caps/>
        <w:lang w:val="bg-BG"/>
      </w:rPr>
    </w:pPr>
    <w:r w:rsidRPr="00530B8D">
      <w:rPr>
        <w:bCs/>
        <w:i/>
        <w:iCs/>
        <w:color w:val="000000"/>
        <w:sz w:val="18"/>
        <w:szCs w:val="18"/>
        <w:lang w:val="bg-BG"/>
      </w:rPr>
      <w:t>Проектът се осъществява с финансовата подкрепа на</w:t>
    </w:r>
  </w:p>
  <w:p w:rsidR="006D6553" w:rsidRPr="00936F6B" w:rsidRDefault="006D6553" w:rsidP="000353F0">
    <w:pPr>
      <w:pStyle w:val="Footer"/>
      <w:jc w:val="center"/>
      <w:rPr>
        <w:bCs/>
        <w:i/>
        <w:iCs/>
        <w:color w:val="000000"/>
        <w:sz w:val="18"/>
        <w:szCs w:val="18"/>
        <w:lang w:val="ru-RU"/>
      </w:rPr>
    </w:pPr>
    <w:r w:rsidRPr="00530B8D">
      <w:rPr>
        <w:bCs/>
        <w:i/>
        <w:iCs/>
        <w:color w:val="000000"/>
        <w:sz w:val="18"/>
        <w:szCs w:val="18"/>
        <w:lang w:val="bg-BG"/>
      </w:rPr>
      <w:t>Оперативна програма „Развитие на човешките ресурси”,</w:t>
    </w:r>
  </w:p>
  <w:p w:rsidR="006D6553" w:rsidRPr="00936F6B" w:rsidRDefault="006D6553" w:rsidP="000353F0">
    <w:pPr>
      <w:pStyle w:val="Footer"/>
      <w:jc w:val="center"/>
      <w:rPr>
        <w:sz w:val="18"/>
        <w:szCs w:val="18"/>
        <w:lang w:val="ru-RU"/>
      </w:rPr>
    </w:pPr>
    <w:r w:rsidRPr="00530B8D">
      <w:rPr>
        <w:bCs/>
        <w:i/>
        <w:iCs/>
        <w:color w:val="000000"/>
        <w:sz w:val="18"/>
        <w:szCs w:val="18"/>
        <w:lang w:val="bg-BG"/>
      </w:rPr>
      <w:t>съфинансирана от Европейския социален фонд на Европейския съюз</w:t>
    </w:r>
  </w:p>
  <w:p w:rsidR="006D6553" w:rsidRDefault="006D6553" w:rsidP="0005023C">
    <w:pPr>
      <w:pStyle w:val="Footer"/>
      <w:ind w:right="72"/>
      <w:jc w:val="center"/>
      <w:rPr>
        <w:rFonts w:ascii="Monotype Corsiva" w:hAnsi="Monotype Corsiva"/>
        <w:b/>
        <w:sz w:val="24"/>
        <w:szCs w:val="24"/>
        <w:lang w:val="bg-BG"/>
      </w:rPr>
    </w:pPr>
    <w:r w:rsidRPr="00F4784E">
      <w:rPr>
        <w:rFonts w:ascii="Monotype Corsiva" w:hAnsi="Monotype Corsiva"/>
        <w:b/>
        <w:sz w:val="24"/>
        <w:szCs w:val="24"/>
        <w:lang w:val="bg-BG"/>
      </w:rPr>
      <w:pict>
        <v:rect id="_x0000_i1025" style="width:0;height:1.5pt" o:hralign="center" o:hrstd="t" o:hr="t" fillcolor="#aca899" stroked="f"/>
      </w:pict>
    </w:r>
  </w:p>
  <w:p w:rsidR="006D6553" w:rsidRPr="000353F0" w:rsidRDefault="00DA2C6F" w:rsidP="006D6553">
    <w:pPr>
      <w:pStyle w:val="Footer"/>
      <w:jc w:val="center"/>
      <w:rPr>
        <w:b/>
        <w:lang w:val="bg-BG"/>
      </w:rPr>
    </w:pPr>
    <w:r>
      <w:rPr>
        <w:rFonts w:ascii="Arial" w:hAnsi="Arial"/>
        <w:i/>
        <w:noProof/>
        <w:lang w:val="bg-BG" w:eastAsia="bg-BG"/>
      </w:rPr>
      <w:drawing>
        <wp:anchor distT="0" distB="0" distL="114300" distR="114300" simplePos="0" relativeHeight="251659776" behindDoc="1" locked="0" layoutInCell="1" allowOverlap="1">
          <wp:simplePos x="0" y="0"/>
          <wp:positionH relativeFrom="column">
            <wp:posOffset>977265</wp:posOffset>
          </wp:positionH>
          <wp:positionV relativeFrom="paragraph">
            <wp:posOffset>1438275</wp:posOffset>
          </wp:positionV>
          <wp:extent cx="4587875" cy="5189855"/>
          <wp:effectExtent l="19050" t="0" r="3175" b="0"/>
          <wp:wrapNone/>
          <wp:docPr id="11" name="Picture 11" descr="LogoPrakt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Praktiki"/>
                  <pic:cNvPicPr>
                    <a:picLocks noChangeAspect="1" noChangeArrowheads="1"/>
                  </pic:cNvPicPr>
                </pic:nvPicPr>
                <pic:blipFill>
                  <a:blip r:embed="rId4">
                    <a:lum bright="70000" contrast="-70000"/>
                    <a:grayscl/>
                  </a:blip>
                  <a:srcRect/>
                  <a:stretch>
                    <a:fillRect/>
                  </a:stretch>
                </pic:blipFill>
                <pic:spPr bwMode="auto">
                  <a:xfrm>
                    <a:off x="0" y="0"/>
                    <a:ext cx="4587875" cy="5189855"/>
                  </a:xfrm>
                  <a:prstGeom prst="rect">
                    <a:avLst/>
                  </a:prstGeom>
                  <a:noFill/>
                  <a:ln w="9525">
                    <a:noFill/>
                    <a:miter lim="800000"/>
                    <a:headEnd/>
                    <a:tailEnd/>
                  </a:ln>
                </pic:spPr>
              </pic:pic>
            </a:graphicData>
          </a:graphic>
        </wp:anchor>
      </w:drawing>
    </w:r>
    <w:r w:rsidR="006D6553" w:rsidRPr="000353F0">
      <w:rPr>
        <w:rFonts w:ascii="Arial" w:hAnsi="Arial"/>
        <w:b/>
        <w:i/>
        <w:lang w:val="bg-BG"/>
      </w:rPr>
      <w:t>Инвестира във вашето бъдеще!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C5663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3CC393B"/>
    <w:multiLevelType w:val="hybridMultilevel"/>
    <w:tmpl w:val="29D4280E"/>
    <w:lvl w:ilvl="0" w:tplc="26E0E860">
      <w:start w:val="1"/>
      <w:numFmt w:val="decimal"/>
      <w:lvlText w:val="%1."/>
      <w:lvlJc w:val="left"/>
      <w:pPr>
        <w:ind w:left="1665" w:hanging="9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
    <w:nsid w:val="596541B6"/>
    <w:multiLevelType w:val="hybridMultilevel"/>
    <w:tmpl w:val="C55C06EC"/>
    <w:lvl w:ilvl="0" w:tplc="36BE652C">
      <w:start w:val="29"/>
      <w:numFmt w:val="bullet"/>
      <w:lvlText w:val="-"/>
      <w:lvlJc w:val="left"/>
      <w:pPr>
        <w:tabs>
          <w:tab w:val="num" w:pos="1065"/>
        </w:tabs>
        <w:ind w:left="1065" w:hanging="360"/>
      </w:pPr>
      <w:rPr>
        <w:rFonts w:ascii="Times New Roman" w:eastAsia="Times New Roman" w:hAnsi="Times New Roman" w:cs="Times New Roman" w:hint="default"/>
      </w:rPr>
    </w:lvl>
    <w:lvl w:ilvl="1" w:tplc="04020003" w:tentative="1">
      <w:start w:val="1"/>
      <w:numFmt w:val="bullet"/>
      <w:lvlText w:val="o"/>
      <w:lvlJc w:val="left"/>
      <w:pPr>
        <w:tabs>
          <w:tab w:val="num" w:pos="1785"/>
        </w:tabs>
        <w:ind w:left="1785" w:hanging="360"/>
      </w:pPr>
      <w:rPr>
        <w:rFonts w:ascii="Courier New" w:hAnsi="Courier New" w:cs="Courier New" w:hint="default"/>
      </w:rPr>
    </w:lvl>
    <w:lvl w:ilvl="2" w:tplc="04020005" w:tentative="1">
      <w:start w:val="1"/>
      <w:numFmt w:val="bullet"/>
      <w:lvlText w:val=""/>
      <w:lvlJc w:val="left"/>
      <w:pPr>
        <w:tabs>
          <w:tab w:val="num" w:pos="2505"/>
        </w:tabs>
        <w:ind w:left="2505" w:hanging="360"/>
      </w:pPr>
      <w:rPr>
        <w:rFonts w:ascii="Wingdings" w:hAnsi="Wingdings" w:hint="default"/>
      </w:rPr>
    </w:lvl>
    <w:lvl w:ilvl="3" w:tplc="04020001" w:tentative="1">
      <w:start w:val="1"/>
      <w:numFmt w:val="bullet"/>
      <w:lvlText w:val=""/>
      <w:lvlJc w:val="left"/>
      <w:pPr>
        <w:tabs>
          <w:tab w:val="num" w:pos="3225"/>
        </w:tabs>
        <w:ind w:left="3225" w:hanging="360"/>
      </w:pPr>
      <w:rPr>
        <w:rFonts w:ascii="Symbol" w:hAnsi="Symbol" w:hint="default"/>
      </w:rPr>
    </w:lvl>
    <w:lvl w:ilvl="4" w:tplc="04020003" w:tentative="1">
      <w:start w:val="1"/>
      <w:numFmt w:val="bullet"/>
      <w:lvlText w:val="o"/>
      <w:lvlJc w:val="left"/>
      <w:pPr>
        <w:tabs>
          <w:tab w:val="num" w:pos="3945"/>
        </w:tabs>
        <w:ind w:left="3945" w:hanging="360"/>
      </w:pPr>
      <w:rPr>
        <w:rFonts w:ascii="Courier New" w:hAnsi="Courier New" w:cs="Courier New" w:hint="default"/>
      </w:rPr>
    </w:lvl>
    <w:lvl w:ilvl="5" w:tplc="04020005" w:tentative="1">
      <w:start w:val="1"/>
      <w:numFmt w:val="bullet"/>
      <w:lvlText w:val=""/>
      <w:lvlJc w:val="left"/>
      <w:pPr>
        <w:tabs>
          <w:tab w:val="num" w:pos="4665"/>
        </w:tabs>
        <w:ind w:left="4665" w:hanging="360"/>
      </w:pPr>
      <w:rPr>
        <w:rFonts w:ascii="Wingdings" w:hAnsi="Wingdings" w:hint="default"/>
      </w:rPr>
    </w:lvl>
    <w:lvl w:ilvl="6" w:tplc="04020001" w:tentative="1">
      <w:start w:val="1"/>
      <w:numFmt w:val="bullet"/>
      <w:lvlText w:val=""/>
      <w:lvlJc w:val="left"/>
      <w:pPr>
        <w:tabs>
          <w:tab w:val="num" w:pos="5385"/>
        </w:tabs>
        <w:ind w:left="5385" w:hanging="360"/>
      </w:pPr>
      <w:rPr>
        <w:rFonts w:ascii="Symbol" w:hAnsi="Symbol" w:hint="default"/>
      </w:rPr>
    </w:lvl>
    <w:lvl w:ilvl="7" w:tplc="04020003" w:tentative="1">
      <w:start w:val="1"/>
      <w:numFmt w:val="bullet"/>
      <w:lvlText w:val="o"/>
      <w:lvlJc w:val="left"/>
      <w:pPr>
        <w:tabs>
          <w:tab w:val="num" w:pos="6105"/>
        </w:tabs>
        <w:ind w:left="6105" w:hanging="360"/>
      </w:pPr>
      <w:rPr>
        <w:rFonts w:ascii="Courier New" w:hAnsi="Courier New" w:cs="Courier New" w:hint="default"/>
      </w:rPr>
    </w:lvl>
    <w:lvl w:ilvl="8" w:tplc="04020005" w:tentative="1">
      <w:start w:val="1"/>
      <w:numFmt w:val="bullet"/>
      <w:lvlText w:val=""/>
      <w:lvlJc w:val="left"/>
      <w:pPr>
        <w:tabs>
          <w:tab w:val="num" w:pos="6825"/>
        </w:tabs>
        <w:ind w:left="682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stylePaneFormatFilter w:val="3F01"/>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9933EC"/>
    <w:rsid w:val="00005413"/>
    <w:rsid w:val="00020398"/>
    <w:rsid w:val="000214DD"/>
    <w:rsid w:val="000353F0"/>
    <w:rsid w:val="0004244E"/>
    <w:rsid w:val="0005023C"/>
    <w:rsid w:val="0005553D"/>
    <w:rsid w:val="00056A42"/>
    <w:rsid w:val="00073CE3"/>
    <w:rsid w:val="00074EF3"/>
    <w:rsid w:val="00087EF1"/>
    <w:rsid w:val="000A6EE5"/>
    <w:rsid w:val="000A7CA1"/>
    <w:rsid w:val="000C5D87"/>
    <w:rsid w:val="000C6222"/>
    <w:rsid w:val="000D36DA"/>
    <w:rsid w:val="000D787F"/>
    <w:rsid w:val="000E461A"/>
    <w:rsid w:val="000F37B2"/>
    <w:rsid w:val="000F616E"/>
    <w:rsid w:val="00101A4F"/>
    <w:rsid w:val="0012635E"/>
    <w:rsid w:val="00130F00"/>
    <w:rsid w:val="00132C7A"/>
    <w:rsid w:val="00136582"/>
    <w:rsid w:val="001833FA"/>
    <w:rsid w:val="0018468D"/>
    <w:rsid w:val="00192A4D"/>
    <w:rsid w:val="001A053C"/>
    <w:rsid w:val="001A2564"/>
    <w:rsid w:val="001E7E9E"/>
    <w:rsid w:val="00207B83"/>
    <w:rsid w:val="002171DB"/>
    <w:rsid w:val="00222FD5"/>
    <w:rsid w:val="00240335"/>
    <w:rsid w:val="00270E41"/>
    <w:rsid w:val="00285E8F"/>
    <w:rsid w:val="002B257B"/>
    <w:rsid w:val="002C1513"/>
    <w:rsid w:val="002C64B1"/>
    <w:rsid w:val="002C7ADB"/>
    <w:rsid w:val="002D048E"/>
    <w:rsid w:val="002D5591"/>
    <w:rsid w:val="002D69C7"/>
    <w:rsid w:val="002E64EC"/>
    <w:rsid w:val="002F3C70"/>
    <w:rsid w:val="003002D2"/>
    <w:rsid w:val="00315BE5"/>
    <w:rsid w:val="00325304"/>
    <w:rsid w:val="00353815"/>
    <w:rsid w:val="0035593A"/>
    <w:rsid w:val="00362F70"/>
    <w:rsid w:val="003638BF"/>
    <w:rsid w:val="003679EA"/>
    <w:rsid w:val="00373623"/>
    <w:rsid w:val="00381EF5"/>
    <w:rsid w:val="003A2ED0"/>
    <w:rsid w:val="003A6C0C"/>
    <w:rsid w:val="003C6702"/>
    <w:rsid w:val="003E0E66"/>
    <w:rsid w:val="003E3F3B"/>
    <w:rsid w:val="00417C46"/>
    <w:rsid w:val="00433173"/>
    <w:rsid w:val="00476344"/>
    <w:rsid w:val="00476710"/>
    <w:rsid w:val="0048731C"/>
    <w:rsid w:val="004C25F6"/>
    <w:rsid w:val="004C546A"/>
    <w:rsid w:val="004E0CCD"/>
    <w:rsid w:val="004F27AA"/>
    <w:rsid w:val="00503C25"/>
    <w:rsid w:val="005102EB"/>
    <w:rsid w:val="00534981"/>
    <w:rsid w:val="00544F4B"/>
    <w:rsid w:val="00591CD4"/>
    <w:rsid w:val="005B1C4C"/>
    <w:rsid w:val="005C1B95"/>
    <w:rsid w:val="005C260F"/>
    <w:rsid w:val="005D7798"/>
    <w:rsid w:val="005D790F"/>
    <w:rsid w:val="005E2DC9"/>
    <w:rsid w:val="005F29C7"/>
    <w:rsid w:val="00601E8C"/>
    <w:rsid w:val="006227EA"/>
    <w:rsid w:val="0063507C"/>
    <w:rsid w:val="00640F04"/>
    <w:rsid w:val="00646E1F"/>
    <w:rsid w:val="00664737"/>
    <w:rsid w:val="00672377"/>
    <w:rsid w:val="006841A0"/>
    <w:rsid w:val="006916E5"/>
    <w:rsid w:val="00696902"/>
    <w:rsid w:val="006A383B"/>
    <w:rsid w:val="006D6553"/>
    <w:rsid w:val="006E7043"/>
    <w:rsid w:val="006F51AC"/>
    <w:rsid w:val="00705B02"/>
    <w:rsid w:val="00711FB5"/>
    <w:rsid w:val="007123A7"/>
    <w:rsid w:val="00727103"/>
    <w:rsid w:val="00751987"/>
    <w:rsid w:val="00760725"/>
    <w:rsid w:val="00777A69"/>
    <w:rsid w:val="007800B0"/>
    <w:rsid w:val="00780D5A"/>
    <w:rsid w:val="007A7618"/>
    <w:rsid w:val="007B40D2"/>
    <w:rsid w:val="007C1AAF"/>
    <w:rsid w:val="007D5023"/>
    <w:rsid w:val="007E1946"/>
    <w:rsid w:val="007E4D08"/>
    <w:rsid w:val="008319BF"/>
    <w:rsid w:val="00835D02"/>
    <w:rsid w:val="008750C6"/>
    <w:rsid w:val="0087663B"/>
    <w:rsid w:val="00885096"/>
    <w:rsid w:val="00894C36"/>
    <w:rsid w:val="008D1C73"/>
    <w:rsid w:val="008F6192"/>
    <w:rsid w:val="00924A25"/>
    <w:rsid w:val="009265E4"/>
    <w:rsid w:val="00936F6B"/>
    <w:rsid w:val="0094340C"/>
    <w:rsid w:val="009933EC"/>
    <w:rsid w:val="00995C5B"/>
    <w:rsid w:val="009B42CC"/>
    <w:rsid w:val="009C26B4"/>
    <w:rsid w:val="009D15C5"/>
    <w:rsid w:val="009D204C"/>
    <w:rsid w:val="009D6943"/>
    <w:rsid w:val="00A324AE"/>
    <w:rsid w:val="00A417E6"/>
    <w:rsid w:val="00A45EBD"/>
    <w:rsid w:val="00A56F9F"/>
    <w:rsid w:val="00A57623"/>
    <w:rsid w:val="00A72BB3"/>
    <w:rsid w:val="00A7319B"/>
    <w:rsid w:val="00A73862"/>
    <w:rsid w:val="00A83FA7"/>
    <w:rsid w:val="00AA0093"/>
    <w:rsid w:val="00AD54F3"/>
    <w:rsid w:val="00B05DD7"/>
    <w:rsid w:val="00B07E06"/>
    <w:rsid w:val="00B22C48"/>
    <w:rsid w:val="00B26FD6"/>
    <w:rsid w:val="00B3232F"/>
    <w:rsid w:val="00B4195E"/>
    <w:rsid w:val="00B45C79"/>
    <w:rsid w:val="00B738F5"/>
    <w:rsid w:val="00B74402"/>
    <w:rsid w:val="00B92EBE"/>
    <w:rsid w:val="00BA7092"/>
    <w:rsid w:val="00BC7F7E"/>
    <w:rsid w:val="00BD72DD"/>
    <w:rsid w:val="00BF33E2"/>
    <w:rsid w:val="00C0330F"/>
    <w:rsid w:val="00C03C70"/>
    <w:rsid w:val="00C16DD4"/>
    <w:rsid w:val="00C172E5"/>
    <w:rsid w:val="00C21E79"/>
    <w:rsid w:val="00C52176"/>
    <w:rsid w:val="00C775D7"/>
    <w:rsid w:val="00C9297E"/>
    <w:rsid w:val="00CA2B04"/>
    <w:rsid w:val="00CB25AC"/>
    <w:rsid w:val="00CD21C5"/>
    <w:rsid w:val="00CD5AD8"/>
    <w:rsid w:val="00CF60FE"/>
    <w:rsid w:val="00D164F2"/>
    <w:rsid w:val="00D17034"/>
    <w:rsid w:val="00D25683"/>
    <w:rsid w:val="00D324A9"/>
    <w:rsid w:val="00D35B0E"/>
    <w:rsid w:val="00D4322E"/>
    <w:rsid w:val="00D52013"/>
    <w:rsid w:val="00D71F52"/>
    <w:rsid w:val="00D747F6"/>
    <w:rsid w:val="00D805DB"/>
    <w:rsid w:val="00D8474F"/>
    <w:rsid w:val="00D920BC"/>
    <w:rsid w:val="00DA2C6F"/>
    <w:rsid w:val="00DB76D3"/>
    <w:rsid w:val="00DE7D8E"/>
    <w:rsid w:val="00DF23BD"/>
    <w:rsid w:val="00DF5FAC"/>
    <w:rsid w:val="00E10861"/>
    <w:rsid w:val="00E15C07"/>
    <w:rsid w:val="00E161F2"/>
    <w:rsid w:val="00E3112F"/>
    <w:rsid w:val="00E42006"/>
    <w:rsid w:val="00E4384F"/>
    <w:rsid w:val="00E558BF"/>
    <w:rsid w:val="00E805C2"/>
    <w:rsid w:val="00E85FE1"/>
    <w:rsid w:val="00EA7AC5"/>
    <w:rsid w:val="00EC5597"/>
    <w:rsid w:val="00F375A0"/>
    <w:rsid w:val="00F4784E"/>
    <w:rsid w:val="00F56641"/>
    <w:rsid w:val="00F63451"/>
    <w:rsid w:val="00F66EB1"/>
    <w:rsid w:val="00F72265"/>
    <w:rsid w:val="00F853D5"/>
    <w:rsid w:val="00FB4643"/>
    <w:rsid w:val="00FD0458"/>
    <w:rsid w:val="00FE13B4"/>
    <w:rsid w:val="00FF52D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7E9E"/>
    <w:rPr>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933EC"/>
    <w:pPr>
      <w:tabs>
        <w:tab w:val="center" w:pos="4536"/>
        <w:tab w:val="right" w:pos="9072"/>
      </w:tabs>
    </w:pPr>
  </w:style>
  <w:style w:type="paragraph" w:styleId="Footer">
    <w:name w:val="footer"/>
    <w:basedOn w:val="Normal"/>
    <w:link w:val="FooterChar"/>
    <w:uiPriority w:val="99"/>
    <w:rsid w:val="009933EC"/>
    <w:pPr>
      <w:tabs>
        <w:tab w:val="center" w:pos="4536"/>
        <w:tab w:val="right" w:pos="9072"/>
      </w:tabs>
    </w:pPr>
  </w:style>
  <w:style w:type="paragraph" w:customStyle="1" w:styleId="CharCharCharCharCharCharChar">
    <w:name w:val=" Char Char Char Char Char Char Char"/>
    <w:basedOn w:val="Normal"/>
    <w:rsid w:val="009933EC"/>
    <w:pPr>
      <w:tabs>
        <w:tab w:val="left" w:pos="709"/>
      </w:tabs>
    </w:pPr>
    <w:rPr>
      <w:rFonts w:ascii="Tahoma" w:hAnsi="Tahoma"/>
      <w:shadow/>
      <w:lang w:val="pl-PL" w:eastAsia="pl-PL"/>
    </w:rPr>
  </w:style>
  <w:style w:type="paragraph" w:customStyle="1" w:styleId="Style1">
    <w:name w:val="Style1"/>
    <w:basedOn w:val="Normal"/>
    <w:rsid w:val="001E7E9E"/>
    <w:rPr>
      <w:rFonts w:cs="Arial"/>
      <w:shadow/>
    </w:rPr>
  </w:style>
  <w:style w:type="character" w:customStyle="1" w:styleId="hps">
    <w:name w:val="hps"/>
    <w:basedOn w:val="DefaultParagraphFont"/>
    <w:rsid w:val="00D4322E"/>
  </w:style>
  <w:style w:type="character" w:customStyle="1" w:styleId="FooterChar">
    <w:name w:val="Footer Char"/>
    <w:link w:val="Footer"/>
    <w:uiPriority w:val="99"/>
    <w:rsid w:val="00F4784E"/>
    <w:rPr>
      <w:lang w:val="en-GB" w:eastAsia="en-US" w:bidi="ar-SA"/>
    </w:rPr>
  </w:style>
  <w:style w:type="paragraph" w:styleId="BodyText3">
    <w:name w:val="Body Text 3"/>
    <w:basedOn w:val="Normal"/>
    <w:link w:val="BodyText3Char"/>
    <w:rsid w:val="00FE13B4"/>
    <w:pPr>
      <w:spacing w:after="120"/>
    </w:pPr>
    <w:rPr>
      <w:rFonts w:ascii="HebarU" w:hAnsi="HebarU"/>
      <w:sz w:val="16"/>
      <w:szCs w:val="16"/>
      <w:lang/>
    </w:rPr>
  </w:style>
  <w:style w:type="character" w:customStyle="1" w:styleId="BodyText3Char">
    <w:name w:val="Body Text 3 Char"/>
    <w:link w:val="BodyText3"/>
    <w:rsid w:val="00FE13B4"/>
    <w:rPr>
      <w:rFonts w:ascii="HebarU" w:hAnsi="HebarU"/>
      <w:sz w:val="16"/>
      <w:szCs w:val="16"/>
      <w:lang w:eastAsia="en-US"/>
    </w:rPr>
  </w:style>
  <w:style w:type="paragraph" w:styleId="BalloonText">
    <w:name w:val="Balloon Text"/>
    <w:basedOn w:val="Normal"/>
    <w:link w:val="BalloonTextChar"/>
    <w:rsid w:val="00CF60FE"/>
    <w:rPr>
      <w:rFonts w:ascii="Tahoma" w:hAnsi="Tahoma"/>
      <w:sz w:val="16"/>
      <w:szCs w:val="16"/>
    </w:rPr>
  </w:style>
  <w:style w:type="character" w:customStyle="1" w:styleId="BalloonTextChar">
    <w:name w:val="Balloon Text Char"/>
    <w:link w:val="BalloonText"/>
    <w:rsid w:val="00CF60FE"/>
    <w:rPr>
      <w:rFonts w:ascii="Tahoma" w:hAnsi="Tahoma" w:cs="Tahoma"/>
      <w:sz w:val="16"/>
      <w:szCs w:val="16"/>
      <w:lang w:val="en-GB" w:eastAsia="en-US"/>
    </w:rPr>
  </w:style>
  <w:style w:type="character" w:styleId="Hyperlink">
    <w:name w:val="Hyperlink"/>
    <w:rsid w:val="00CD21C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ktiki.mon.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43157-1EF3-4377-A38D-CF96BD25C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mlsp</Company>
  <LinksUpToDate>false</LinksUpToDate>
  <CharactersWithSpaces>7649</CharactersWithSpaces>
  <SharedDoc>false</SharedDoc>
  <HLinks>
    <vt:vector size="6" baseType="variant">
      <vt:variant>
        <vt:i4>2949233</vt:i4>
      </vt:variant>
      <vt:variant>
        <vt:i4>0</vt:i4>
      </vt:variant>
      <vt:variant>
        <vt:i4>0</vt:i4>
      </vt:variant>
      <vt:variant>
        <vt:i4>5</vt:i4>
      </vt:variant>
      <vt:variant>
        <vt:lpwstr>http://praktiki.mon.bg/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mirela</dc:creator>
  <cp:keywords/>
  <cp:lastModifiedBy>pcV</cp:lastModifiedBy>
  <cp:revision>2</cp:revision>
  <cp:lastPrinted>2012-06-28T09:21:00Z</cp:lastPrinted>
  <dcterms:created xsi:type="dcterms:W3CDTF">2014-03-29T11:40:00Z</dcterms:created>
  <dcterms:modified xsi:type="dcterms:W3CDTF">2014-03-29T11:40:00Z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